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9E" w:rsidRPr="006E7C15" w:rsidRDefault="00F3089E" w:rsidP="00F3089E">
      <w:pPr>
        <w:pStyle w:val="Heading5"/>
        <w:spacing w:line="360" w:lineRule="auto"/>
        <w:rPr>
          <w:rFonts w:eastAsia="MS Mincho"/>
          <w:b/>
          <w:bCs/>
        </w:rPr>
      </w:pPr>
      <w:r w:rsidRPr="006E7C15">
        <w:rPr>
          <w:rFonts w:eastAsia="MS Mincho"/>
          <w:b/>
          <w:bCs/>
        </w:rPr>
        <w:t>References</w:t>
      </w:r>
    </w:p>
    <w:p w:rsidR="00F3089E" w:rsidRPr="00F3089E" w:rsidRDefault="00F3089E" w:rsidP="00F3089E">
      <w:pPr>
        <w:pStyle w:val="reference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3089E">
        <w:rPr>
          <w:sz w:val="18"/>
          <w:szCs w:val="18"/>
        </w:rPr>
        <w:t>S. Willium, “</w:t>
      </w:r>
      <w:r w:rsidRPr="00F3089E">
        <w:rPr>
          <w:iCs/>
          <w:sz w:val="18"/>
          <w:szCs w:val="18"/>
        </w:rPr>
        <w:t>Network Security and Communication</w:t>
      </w:r>
      <w:r w:rsidRPr="00F3089E">
        <w:rPr>
          <w:sz w:val="18"/>
          <w:szCs w:val="18"/>
        </w:rPr>
        <w:t>”, IEEE Transaction,  Vol.</w:t>
      </w:r>
      <w:r w:rsidRPr="00F3089E">
        <w:rPr>
          <w:b/>
          <w:bCs/>
          <w:sz w:val="18"/>
          <w:szCs w:val="18"/>
        </w:rPr>
        <w:t xml:space="preserve">31, </w:t>
      </w:r>
      <w:r w:rsidRPr="00F3089E">
        <w:rPr>
          <w:sz w:val="18"/>
          <w:szCs w:val="18"/>
        </w:rPr>
        <w:t>Issue.</w:t>
      </w:r>
      <w:r w:rsidRPr="00F3089E">
        <w:rPr>
          <w:b/>
          <w:bCs/>
          <w:sz w:val="18"/>
          <w:szCs w:val="18"/>
        </w:rPr>
        <w:t>4</w:t>
      </w:r>
      <w:r w:rsidRPr="00F3089E">
        <w:rPr>
          <w:sz w:val="18"/>
          <w:szCs w:val="18"/>
        </w:rPr>
        <w:t>, pp.</w:t>
      </w:r>
      <w:r w:rsidRPr="00F3089E">
        <w:rPr>
          <w:b/>
          <w:bCs/>
          <w:sz w:val="18"/>
          <w:szCs w:val="18"/>
        </w:rPr>
        <w:t>123-141</w:t>
      </w:r>
      <w:r w:rsidRPr="00F3089E">
        <w:rPr>
          <w:sz w:val="18"/>
          <w:szCs w:val="18"/>
        </w:rPr>
        <w:t xml:space="preserve">, </w:t>
      </w:r>
      <w:r w:rsidRPr="00F3089E">
        <w:rPr>
          <w:b/>
          <w:bCs/>
          <w:sz w:val="18"/>
          <w:szCs w:val="18"/>
        </w:rPr>
        <w:t>2012</w:t>
      </w:r>
      <w:r w:rsidRPr="00F3089E">
        <w:rPr>
          <w:sz w:val="18"/>
          <w:szCs w:val="18"/>
        </w:rPr>
        <w:t xml:space="preserve">. </w:t>
      </w:r>
      <w:r w:rsidRPr="00F3089E">
        <w:rPr>
          <w:color w:val="C00000"/>
          <w:sz w:val="18"/>
          <w:szCs w:val="18"/>
          <w:highlight w:val="yellow"/>
        </w:rPr>
        <w:t>For Journal</w:t>
      </w:r>
      <w:r w:rsidRPr="00F3089E">
        <w:rPr>
          <w:sz w:val="18"/>
          <w:szCs w:val="18"/>
        </w:rPr>
        <w:t xml:space="preserve"> </w:t>
      </w:r>
    </w:p>
    <w:p w:rsidR="00F3089E" w:rsidRPr="00F3089E" w:rsidRDefault="00F3089E" w:rsidP="00F3089E">
      <w:pPr>
        <w:pStyle w:val="reference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3089E">
        <w:rPr>
          <w:sz w:val="18"/>
          <w:szCs w:val="18"/>
        </w:rPr>
        <w:t>R. Solanki, “</w:t>
      </w:r>
      <w:r w:rsidRPr="00F3089E">
        <w:rPr>
          <w:iCs/>
          <w:sz w:val="18"/>
          <w:szCs w:val="18"/>
        </w:rPr>
        <w:t>Principle of Data Mining</w:t>
      </w:r>
      <w:r w:rsidRPr="00F3089E">
        <w:rPr>
          <w:sz w:val="18"/>
          <w:szCs w:val="18"/>
        </w:rPr>
        <w:t xml:space="preserve">”, McGraw-Hill Publication, </w:t>
      </w:r>
      <w:r w:rsidRPr="00F3089E">
        <w:rPr>
          <w:b/>
          <w:bCs/>
          <w:sz w:val="18"/>
          <w:szCs w:val="18"/>
        </w:rPr>
        <w:t>India</w:t>
      </w:r>
      <w:r w:rsidRPr="00F3089E">
        <w:rPr>
          <w:sz w:val="18"/>
          <w:szCs w:val="18"/>
        </w:rPr>
        <w:t xml:space="preserve">, pp. 386-398, 1998.    </w:t>
      </w:r>
      <w:r w:rsidRPr="00F3089E">
        <w:rPr>
          <w:color w:val="C00000"/>
          <w:sz w:val="18"/>
          <w:szCs w:val="18"/>
          <w:highlight w:val="yellow"/>
        </w:rPr>
        <w:t>For Book</w:t>
      </w:r>
    </w:p>
    <w:p w:rsidR="00F3089E" w:rsidRPr="00F3089E" w:rsidRDefault="00F3089E" w:rsidP="00F3089E">
      <w:pPr>
        <w:pStyle w:val="reference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3089E">
        <w:rPr>
          <w:sz w:val="18"/>
          <w:szCs w:val="18"/>
        </w:rPr>
        <w:t>M. Mohammad, “</w:t>
      </w:r>
      <w:r w:rsidRPr="00F3089E">
        <w:rPr>
          <w:iCs/>
          <w:sz w:val="18"/>
          <w:szCs w:val="18"/>
        </w:rPr>
        <w:t>Performan</w:t>
      </w:r>
      <w:bookmarkStart w:id="0" w:name="_GoBack"/>
      <w:bookmarkEnd w:id="0"/>
      <w:r w:rsidRPr="00F3089E">
        <w:rPr>
          <w:iCs/>
          <w:sz w:val="18"/>
          <w:szCs w:val="18"/>
        </w:rPr>
        <w:t>ce Impact of Addressing Modes on Encryption Algorithms</w:t>
      </w:r>
      <w:r w:rsidRPr="00F3089E">
        <w:rPr>
          <w:sz w:val="18"/>
          <w:szCs w:val="18"/>
        </w:rPr>
        <w:t xml:space="preserve">”, In the Proceedings of the 2001 IEEE International Conference on  Computer Design (ICCD 2001),  Indore, </w:t>
      </w:r>
      <w:r w:rsidRPr="00F3089E">
        <w:rPr>
          <w:b/>
          <w:bCs/>
          <w:sz w:val="18"/>
          <w:szCs w:val="18"/>
        </w:rPr>
        <w:t>USA</w:t>
      </w:r>
      <w:r w:rsidRPr="00F3089E">
        <w:rPr>
          <w:sz w:val="18"/>
          <w:szCs w:val="18"/>
        </w:rPr>
        <w:t>, pp.</w:t>
      </w:r>
      <w:r w:rsidRPr="00F3089E">
        <w:rPr>
          <w:b/>
          <w:bCs/>
          <w:sz w:val="18"/>
          <w:szCs w:val="18"/>
        </w:rPr>
        <w:t>542-545</w:t>
      </w:r>
      <w:r w:rsidRPr="00F3089E">
        <w:rPr>
          <w:sz w:val="18"/>
          <w:szCs w:val="18"/>
        </w:rPr>
        <w:t xml:space="preserve">, </w:t>
      </w:r>
      <w:r w:rsidRPr="00F3089E">
        <w:rPr>
          <w:b/>
          <w:bCs/>
          <w:sz w:val="18"/>
          <w:szCs w:val="18"/>
        </w:rPr>
        <w:t xml:space="preserve">2001. </w:t>
      </w:r>
      <w:r w:rsidRPr="00F3089E">
        <w:rPr>
          <w:color w:val="C00000"/>
          <w:sz w:val="18"/>
          <w:szCs w:val="18"/>
          <w:highlight w:val="yellow"/>
        </w:rPr>
        <w:t>For Conference</w:t>
      </w:r>
    </w:p>
    <w:p w:rsidR="00F3089E" w:rsidRPr="00F3089E" w:rsidRDefault="00F3089E" w:rsidP="00F3089E">
      <w:pPr>
        <w:pStyle w:val="reference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3089E">
        <w:rPr>
          <w:sz w:val="18"/>
          <w:szCs w:val="18"/>
        </w:rPr>
        <w:t>S.K. Sharma, “</w:t>
      </w:r>
      <w:r w:rsidRPr="00F3089E">
        <w:rPr>
          <w:iCs/>
          <w:sz w:val="18"/>
          <w:szCs w:val="18"/>
        </w:rPr>
        <w:t>Performance Analysis of Reactive and Proactive Routing Protocols for Mobile Ad-hoc –Networks</w:t>
      </w:r>
      <w:r w:rsidRPr="00F3089E">
        <w:rPr>
          <w:sz w:val="18"/>
          <w:szCs w:val="18"/>
        </w:rPr>
        <w:t>”, International Journal of Scientific Research in Network Security and Communication, Vol.</w:t>
      </w:r>
      <w:r w:rsidRPr="00F3089E">
        <w:rPr>
          <w:b/>
          <w:bCs/>
          <w:sz w:val="18"/>
          <w:szCs w:val="18"/>
        </w:rPr>
        <w:t xml:space="preserve">1, </w:t>
      </w:r>
      <w:r w:rsidRPr="00F3089E">
        <w:rPr>
          <w:sz w:val="18"/>
          <w:szCs w:val="18"/>
        </w:rPr>
        <w:t xml:space="preserve"> No.</w:t>
      </w:r>
      <w:r w:rsidRPr="00F3089E">
        <w:rPr>
          <w:b/>
          <w:bCs/>
          <w:sz w:val="18"/>
          <w:szCs w:val="18"/>
        </w:rPr>
        <w:t>5</w:t>
      </w:r>
      <w:r w:rsidRPr="00F3089E">
        <w:rPr>
          <w:sz w:val="18"/>
          <w:szCs w:val="18"/>
        </w:rPr>
        <w:t>, pp.</w:t>
      </w:r>
      <w:r w:rsidRPr="00F3089E">
        <w:rPr>
          <w:b/>
          <w:bCs/>
          <w:sz w:val="18"/>
          <w:szCs w:val="18"/>
        </w:rPr>
        <w:t>1-4</w:t>
      </w:r>
      <w:r w:rsidRPr="00F3089E">
        <w:rPr>
          <w:sz w:val="18"/>
          <w:szCs w:val="18"/>
        </w:rPr>
        <w:t xml:space="preserve">, </w:t>
      </w:r>
      <w:r w:rsidRPr="00F3089E">
        <w:rPr>
          <w:b/>
          <w:bCs/>
          <w:sz w:val="18"/>
          <w:szCs w:val="18"/>
        </w:rPr>
        <w:t>2013</w:t>
      </w:r>
      <w:r w:rsidRPr="00F3089E">
        <w:rPr>
          <w:sz w:val="18"/>
          <w:szCs w:val="18"/>
        </w:rPr>
        <w:t xml:space="preserve">.              </w:t>
      </w:r>
    </w:p>
    <w:p w:rsidR="00F3089E" w:rsidRPr="00F3089E" w:rsidRDefault="00F3089E" w:rsidP="00F3089E">
      <w:pPr>
        <w:pStyle w:val="reference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3089E">
        <w:rPr>
          <w:sz w:val="18"/>
          <w:szCs w:val="18"/>
        </w:rPr>
        <w:t>S.L. Mewada, “</w:t>
      </w:r>
      <w:r w:rsidRPr="00F3089E">
        <w:rPr>
          <w:iCs/>
          <w:sz w:val="18"/>
          <w:szCs w:val="18"/>
        </w:rPr>
        <w:t>Exploration of Efficient Symmetric AES Algorithm</w:t>
      </w:r>
      <w:r w:rsidRPr="00F3089E">
        <w:rPr>
          <w:sz w:val="18"/>
          <w:szCs w:val="18"/>
        </w:rPr>
        <w:t>”, International Journa of Computer Sciences and Engineering, Vol.</w:t>
      </w:r>
      <w:r w:rsidRPr="00F3089E">
        <w:rPr>
          <w:b/>
          <w:bCs/>
          <w:sz w:val="18"/>
          <w:szCs w:val="18"/>
        </w:rPr>
        <w:t>4</w:t>
      </w:r>
      <w:r w:rsidRPr="00F3089E">
        <w:rPr>
          <w:sz w:val="18"/>
          <w:szCs w:val="18"/>
        </w:rPr>
        <w:t>, Issue.</w:t>
      </w:r>
      <w:r w:rsidRPr="00F3089E">
        <w:rPr>
          <w:b/>
          <w:bCs/>
          <w:sz w:val="18"/>
          <w:szCs w:val="18"/>
        </w:rPr>
        <w:t>11</w:t>
      </w:r>
      <w:r w:rsidRPr="00F3089E">
        <w:rPr>
          <w:sz w:val="18"/>
          <w:szCs w:val="18"/>
        </w:rPr>
        <w:t>, pp.</w:t>
      </w:r>
      <w:r w:rsidRPr="00F3089E">
        <w:rPr>
          <w:b/>
          <w:bCs/>
          <w:sz w:val="18"/>
          <w:szCs w:val="18"/>
        </w:rPr>
        <w:t>111-117</w:t>
      </w:r>
      <w:r w:rsidRPr="00F3089E">
        <w:rPr>
          <w:sz w:val="18"/>
          <w:szCs w:val="18"/>
        </w:rPr>
        <w:t xml:space="preserve">,  </w:t>
      </w:r>
      <w:r w:rsidRPr="00F3089E">
        <w:rPr>
          <w:b/>
          <w:bCs/>
          <w:sz w:val="18"/>
          <w:szCs w:val="18"/>
        </w:rPr>
        <w:t>2015</w:t>
      </w:r>
      <w:r w:rsidRPr="00F3089E">
        <w:rPr>
          <w:sz w:val="18"/>
          <w:szCs w:val="18"/>
        </w:rPr>
        <w:t xml:space="preserve">. </w:t>
      </w:r>
    </w:p>
    <w:p w:rsidR="00F3089E" w:rsidRPr="00F3089E" w:rsidRDefault="00F3089E" w:rsidP="00F3089E">
      <w:pPr>
        <w:pStyle w:val="reference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3089E">
        <w:rPr>
          <w:sz w:val="18"/>
          <w:szCs w:val="18"/>
        </w:rPr>
        <w:t>A. Mardin, T. Anwar, B. Anwer, “</w:t>
      </w:r>
      <w:r w:rsidRPr="00F3089E">
        <w:rPr>
          <w:iCs/>
          <w:sz w:val="18"/>
          <w:szCs w:val="18"/>
        </w:rPr>
        <w:t>Image Compression: Combination of Discrete Transformation and Matrix Reduction</w:t>
      </w:r>
      <w:r w:rsidRPr="00F3089E">
        <w:rPr>
          <w:sz w:val="18"/>
          <w:szCs w:val="18"/>
        </w:rPr>
        <w:t>”, International Journal of Computer Sciences and Engineering, Vol.</w:t>
      </w:r>
      <w:r w:rsidRPr="00F3089E">
        <w:rPr>
          <w:b/>
          <w:bCs/>
          <w:sz w:val="18"/>
          <w:szCs w:val="18"/>
        </w:rPr>
        <w:t xml:space="preserve">5, </w:t>
      </w:r>
      <w:r w:rsidRPr="00F3089E">
        <w:rPr>
          <w:bCs/>
          <w:sz w:val="18"/>
          <w:szCs w:val="18"/>
        </w:rPr>
        <w:t>Issue.</w:t>
      </w:r>
      <w:r w:rsidRPr="00F3089E">
        <w:rPr>
          <w:b/>
          <w:bCs/>
          <w:sz w:val="18"/>
          <w:szCs w:val="18"/>
        </w:rPr>
        <w:t>1</w:t>
      </w:r>
      <w:r w:rsidRPr="00F3089E">
        <w:rPr>
          <w:sz w:val="18"/>
          <w:szCs w:val="18"/>
        </w:rPr>
        <w:t>, pp.</w:t>
      </w:r>
      <w:r w:rsidRPr="00F3089E">
        <w:rPr>
          <w:b/>
          <w:bCs/>
          <w:sz w:val="18"/>
          <w:szCs w:val="18"/>
        </w:rPr>
        <w:t>1-6</w:t>
      </w:r>
      <w:r w:rsidRPr="00F3089E">
        <w:rPr>
          <w:sz w:val="18"/>
          <w:szCs w:val="18"/>
        </w:rPr>
        <w:t xml:space="preserve">, </w:t>
      </w:r>
      <w:r w:rsidRPr="00F3089E">
        <w:rPr>
          <w:b/>
          <w:bCs/>
          <w:sz w:val="18"/>
          <w:szCs w:val="18"/>
        </w:rPr>
        <w:t>2017</w:t>
      </w:r>
      <w:r w:rsidRPr="00F3089E">
        <w:rPr>
          <w:sz w:val="18"/>
          <w:szCs w:val="18"/>
        </w:rPr>
        <w:t>.</w:t>
      </w:r>
    </w:p>
    <w:p w:rsidR="00F3089E" w:rsidRPr="00F3089E" w:rsidRDefault="00F3089E" w:rsidP="00F3089E">
      <w:pPr>
        <w:pStyle w:val="reference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3089E">
        <w:rPr>
          <w:sz w:val="18"/>
          <w:szCs w:val="18"/>
        </w:rPr>
        <w:t>H.R. Singh, “</w:t>
      </w:r>
      <w:r w:rsidRPr="00F3089E">
        <w:rPr>
          <w:iCs/>
          <w:sz w:val="18"/>
          <w:szCs w:val="18"/>
        </w:rPr>
        <w:t>Randomly Generated Algorithms and Dynamic Connections</w:t>
      </w:r>
      <w:r w:rsidRPr="00F3089E">
        <w:rPr>
          <w:sz w:val="18"/>
          <w:szCs w:val="18"/>
        </w:rPr>
        <w:t>”, International Journal of Scientific Research in Network Security and Communication, Vol.</w:t>
      </w:r>
      <w:r w:rsidRPr="00F3089E">
        <w:rPr>
          <w:b/>
          <w:bCs/>
          <w:sz w:val="18"/>
          <w:szCs w:val="18"/>
        </w:rPr>
        <w:t xml:space="preserve">2, </w:t>
      </w:r>
      <w:r w:rsidRPr="00F3089E">
        <w:rPr>
          <w:sz w:val="18"/>
          <w:szCs w:val="18"/>
        </w:rPr>
        <w:t>Issue.</w:t>
      </w:r>
      <w:r w:rsidRPr="00F3089E">
        <w:rPr>
          <w:b/>
          <w:bCs/>
          <w:sz w:val="18"/>
          <w:szCs w:val="18"/>
        </w:rPr>
        <w:t>1</w:t>
      </w:r>
      <w:r w:rsidRPr="00F3089E">
        <w:rPr>
          <w:sz w:val="18"/>
          <w:szCs w:val="18"/>
        </w:rPr>
        <w:t>, pp.</w:t>
      </w:r>
      <w:r w:rsidRPr="00F3089E">
        <w:rPr>
          <w:b/>
          <w:bCs/>
          <w:sz w:val="18"/>
          <w:szCs w:val="18"/>
        </w:rPr>
        <w:t>231-238</w:t>
      </w:r>
      <w:r w:rsidRPr="00F3089E">
        <w:rPr>
          <w:sz w:val="18"/>
          <w:szCs w:val="18"/>
        </w:rPr>
        <w:t xml:space="preserve">, </w:t>
      </w:r>
      <w:r w:rsidRPr="00F3089E">
        <w:rPr>
          <w:b/>
          <w:bCs/>
          <w:sz w:val="18"/>
          <w:szCs w:val="18"/>
        </w:rPr>
        <w:t>2014.</w:t>
      </w:r>
    </w:p>
    <w:p w:rsidR="00F3089E" w:rsidRPr="00F3089E" w:rsidRDefault="00F3089E" w:rsidP="00F3089E">
      <w:pPr>
        <w:pStyle w:val="reference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3089E">
        <w:rPr>
          <w:sz w:val="18"/>
          <w:szCs w:val="18"/>
        </w:rPr>
        <w:t>Thomas L., “</w:t>
      </w:r>
      <w:r w:rsidRPr="00F3089E">
        <w:rPr>
          <w:iCs/>
          <w:sz w:val="18"/>
          <w:szCs w:val="18"/>
        </w:rPr>
        <w:t>A Scheme to Eliminate Redundant Rebroadcast and Reduce Transmission Delay Using Binary Exponential Algorithm in Ad-Hoc Wireless Networks</w:t>
      </w:r>
      <w:r w:rsidRPr="00F3089E">
        <w:rPr>
          <w:sz w:val="18"/>
          <w:szCs w:val="18"/>
        </w:rPr>
        <w:t>”, International Journal of Computer Sciences and Engineering, Vol.</w:t>
      </w:r>
      <w:r w:rsidRPr="00F3089E">
        <w:rPr>
          <w:b/>
          <w:bCs/>
          <w:sz w:val="18"/>
          <w:szCs w:val="18"/>
        </w:rPr>
        <w:t xml:space="preserve">3, </w:t>
      </w:r>
      <w:r w:rsidRPr="00F3089E">
        <w:rPr>
          <w:sz w:val="18"/>
          <w:szCs w:val="18"/>
        </w:rPr>
        <w:t>Issue.</w:t>
      </w:r>
      <w:r w:rsidRPr="00F3089E">
        <w:rPr>
          <w:b/>
          <w:bCs/>
          <w:sz w:val="18"/>
          <w:szCs w:val="18"/>
        </w:rPr>
        <w:t>8</w:t>
      </w:r>
      <w:r w:rsidRPr="00F3089E">
        <w:rPr>
          <w:sz w:val="18"/>
          <w:szCs w:val="18"/>
        </w:rPr>
        <w:t>, pp.</w:t>
      </w:r>
      <w:r w:rsidRPr="00F3089E">
        <w:rPr>
          <w:b/>
          <w:bCs/>
          <w:sz w:val="18"/>
          <w:szCs w:val="18"/>
        </w:rPr>
        <w:t>1-6</w:t>
      </w:r>
      <w:r w:rsidRPr="00F3089E">
        <w:rPr>
          <w:sz w:val="18"/>
          <w:szCs w:val="18"/>
        </w:rPr>
        <w:t xml:space="preserve">, </w:t>
      </w:r>
      <w:r w:rsidRPr="00F3089E">
        <w:rPr>
          <w:b/>
          <w:bCs/>
          <w:sz w:val="18"/>
          <w:szCs w:val="18"/>
        </w:rPr>
        <w:t>2017</w:t>
      </w:r>
      <w:r w:rsidRPr="00F3089E">
        <w:rPr>
          <w:sz w:val="18"/>
          <w:szCs w:val="18"/>
        </w:rPr>
        <w:t>.</w:t>
      </w:r>
    </w:p>
    <w:p w:rsidR="00F3089E" w:rsidRPr="00F3089E" w:rsidRDefault="00F3089E" w:rsidP="00F3089E">
      <w:pPr>
        <w:pStyle w:val="reference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3089E">
        <w:rPr>
          <w:sz w:val="18"/>
          <w:szCs w:val="18"/>
        </w:rPr>
        <w:t>C.T. Lee, A. Girgensohn, J. Zhang, “</w:t>
      </w:r>
      <w:r w:rsidRPr="00F3089E">
        <w:rPr>
          <w:iCs/>
          <w:sz w:val="18"/>
          <w:szCs w:val="18"/>
        </w:rPr>
        <w:t>Browsers to support awareness and Social Interaction</w:t>
      </w:r>
      <w:r w:rsidRPr="00F3089E">
        <w:rPr>
          <w:sz w:val="18"/>
          <w:szCs w:val="18"/>
        </w:rPr>
        <w:t>,” Computer Graphics and Applications, Journal of IEEE Access , Vol.</w:t>
      </w:r>
      <w:r w:rsidRPr="00F3089E">
        <w:rPr>
          <w:b/>
          <w:bCs/>
          <w:sz w:val="18"/>
          <w:szCs w:val="18"/>
        </w:rPr>
        <w:t xml:space="preserve">24, </w:t>
      </w:r>
      <w:r w:rsidRPr="00F3089E">
        <w:rPr>
          <w:sz w:val="18"/>
          <w:szCs w:val="18"/>
        </w:rPr>
        <w:t>Issue.</w:t>
      </w:r>
      <w:r w:rsidRPr="00F3089E">
        <w:rPr>
          <w:b/>
          <w:bCs/>
          <w:sz w:val="18"/>
          <w:szCs w:val="18"/>
        </w:rPr>
        <w:t>10</w:t>
      </w:r>
      <w:r w:rsidRPr="00F3089E">
        <w:rPr>
          <w:sz w:val="18"/>
          <w:szCs w:val="18"/>
        </w:rPr>
        <w:t>, pp.</w:t>
      </w:r>
      <w:r w:rsidRPr="00F3089E">
        <w:rPr>
          <w:b/>
          <w:bCs/>
          <w:sz w:val="18"/>
          <w:szCs w:val="18"/>
        </w:rPr>
        <w:t>66-75</w:t>
      </w:r>
      <w:r w:rsidRPr="00F3089E">
        <w:rPr>
          <w:sz w:val="18"/>
          <w:szCs w:val="18"/>
        </w:rPr>
        <w:t xml:space="preserve">, </w:t>
      </w:r>
      <w:r w:rsidRPr="00F3089E">
        <w:rPr>
          <w:b/>
          <w:bCs/>
          <w:sz w:val="18"/>
          <w:szCs w:val="18"/>
        </w:rPr>
        <w:t xml:space="preserve">2012.  </w:t>
      </w:r>
      <w:r w:rsidRPr="00F3089E">
        <w:rPr>
          <w:sz w:val="18"/>
          <w:szCs w:val="18"/>
        </w:rPr>
        <w:t xml:space="preserve">doi: 10.1109/MCG.2004.24 </w:t>
      </w:r>
    </w:p>
    <w:p w:rsidR="00F3089E" w:rsidRPr="00F3089E" w:rsidRDefault="00F3089E" w:rsidP="00F3089E">
      <w:pPr>
        <w:pStyle w:val="reference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3089E">
        <w:rPr>
          <w:sz w:val="18"/>
          <w:szCs w:val="18"/>
        </w:rPr>
        <w:t>Lin C., Lee B., “</w:t>
      </w:r>
      <w:r w:rsidRPr="00F3089E">
        <w:rPr>
          <w:iCs/>
          <w:sz w:val="18"/>
          <w:szCs w:val="18"/>
        </w:rPr>
        <w:t>Exploration of Routing Protocols in Wireless Mesh Network</w:t>
      </w:r>
      <w:r w:rsidRPr="00F3089E">
        <w:rPr>
          <w:sz w:val="18"/>
          <w:szCs w:val="18"/>
        </w:rPr>
        <w:t>”, In the Proceedings of the 2015 IEEE Symposium on Colossal Big Data Analysis and Networking Security, Canada,  pp.</w:t>
      </w:r>
      <w:r w:rsidRPr="00F3089E">
        <w:rPr>
          <w:b/>
          <w:bCs/>
          <w:sz w:val="18"/>
          <w:szCs w:val="18"/>
        </w:rPr>
        <w:t>111-117</w:t>
      </w:r>
      <w:r w:rsidRPr="00F3089E">
        <w:rPr>
          <w:sz w:val="18"/>
          <w:szCs w:val="18"/>
        </w:rPr>
        <w:t xml:space="preserve">, </w:t>
      </w:r>
      <w:r w:rsidRPr="00F3089E">
        <w:rPr>
          <w:b/>
          <w:bCs/>
          <w:sz w:val="18"/>
          <w:szCs w:val="18"/>
        </w:rPr>
        <w:t>2015</w:t>
      </w:r>
      <w:r w:rsidRPr="00F3089E">
        <w:rPr>
          <w:sz w:val="18"/>
          <w:szCs w:val="18"/>
        </w:rPr>
        <w:t xml:space="preserve">. </w:t>
      </w:r>
    </w:p>
    <w:p w:rsidR="00F3089E" w:rsidRPr="00F3089E" w:rsidRDefault="00F3089E" w:rsidP="00F3089E">
      <w:pPr>
        <w:pStyle w:val="reference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3089E">
        <w:rPr>
          <w:sz w:val="18"/>
          <w:szCs w:val="18"/>
        </w:rPr>
        <w:t>S. Tamilarasan, P.K. Sharma, “</w:t>
      </w:r>
      <w:r w:rsidRPr="00F3089E">
        <w:rPr>
          <w:iCs/>
          <w:sz w:val="18"/>
          <w:szCs w:val="18"/>
        </w:rPr>
        <w:t>A Survey on Dynamic Resource Allocation in MIMO Heterogeneous Cognitive Radio Networks based on Priority Scheduling</w:t>
      </w:r>
      <w:r w:rsidRPr="00F3089E">
        <w:rPr>
          <w:sz w:val="18"/>
          <w:szCs w:val="18"/>
        </w:rPr>
        <w:t xml:space="preserve">”, International Journal of Computer </w:t>
      </w:r>
    </w:p>
    <w:p w:rsidR="00581B39" w:rsidRDefault="00581B39"/>
    <w:sectPr w:rsidR="0058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68"/>
    <w:rsid w:val="00196B66"/>
    <w:rsid w:val="00581B39"/>
    <w:rsid w:val="00C92068"/>
    <w:rsid w:val="00DF7F96"/>
    <w:rsid w:val="00E633A6"/>
    <w:rsid w:val="00F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3089E"/>
    <w:pPr>
      <w:tabs>
        <w:tab w:val="left" w:pos="360"/>
      </w:tabs>
      <w:spacing w:before="160" w:after="80" w:line="240" w:lineRule="auto"/>
      <w:jc w:val="center"/>
      <w:outlineLvl w:val="4"/>
    </w:pPr>
    <w:rPr>
      <w:rFonts w:ascii="Times New Roman" w:eastAsia="SimSun" w:hAnsi="Times New Roman" w:cs="Times New Roman"/>
      <w:smallCaps/>
      <w:noProof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3089E"/>
    <w:rPr>
      <w:rFonts w:ascii="Times New Roman" w:eastAsia="SimSun" w:hAnsi="Times New Roman" w:cs="Times New Roman"/>
      <w:smallCaps/>
      <w:noProof/>
      <w:sz w:val="20"/>
      <w:szCs w:val="20"/>
      <w:lang w:val="en-IN" w:eastAsia="en-IN" w:bidi="hi-IN"/>
    </w:rPr>
  </w:style>
  <w:style w:type="paragraph" w:customStyle="1" w:styleId="references">
    <w:name w:val="references"/>
    <w:rsid w:val="00F3089E"/>
    <w:pPr>
      <w:numPr>
        <w:numId w:val="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3089E"/>
    <w:pPr>
      <w:tabs>
        <w:tab w:val="left" w:pos="360"/>
      </w:tabs>
      <w:spacing w:before="160" w:after="80" w:line="240" w:lineRule="auto"/>
      <w:jc w:val="center"/>
      <w:outlineLvl w:val="4"/>
    </w:pPr>
    <w:rPr>
      <w:rFonts w:ascii="Times New Roman" w:eastAsia="SimSun" w:hAnsi="Times New Roman" w:cs="Times New Roman"/>
      <w:smallCaps/>
      <w:noProof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3089E"/>
    <w:rPr>
      <w:rFonts w:ascii="Times New Roman" w:eastAsia="SimSun" w:hAnsi="Times New Roman" w:cs="Times New Roman"/>
      <w:smallCaps/>
      <w:noProof/>
      <w:sz w:val="20"/>
      <w:szCs w:val="20"/>
      <w:lang w:val="en-IN" w:eastAsia="en-IN" w:bidi="hi-IN"/>
    </w:rPr>
  </w:style>
  <w:style w:type="paragraph" w:customStyle="1" w:styleId="references">
    <w:name w:val="references"/>
    <w:rsid w:val="00F3089E"/>
    <w:pPr>
      <w:numPr>
        <w:numId w:val="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>by adguard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Mr.Raj</dc:creator>
  <cp:keywords/>
  <dc:description/>
  <cp:lastModifiedBy>Mr.Raj</cp:lastModifiedBy>
  <cp:revision>2</cp:revision>
  <dcterms:created xsi:type="dcterms:W3CDTF">2018-11-12T12:51:00Z</dcterms:created>
  <dcterms:modified xsi:type="dcterms:W3CDTF">2018-11-12T12:53:00Z</dcterms:modified>
</cp:coreProperties>
</file>